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>Obec 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Ohlásenie stavebných úprav a udržiavacích prác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podľa § 57 zákona č. 50/1976 Zb.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územnom plánovaní a stavebnom poriadku (stavebný zákon)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znení neskorších predpisov a § 6 vyhlášky č. 453/2000 Z. z., ktorou sa vykonávajú niektoré ustanovenia stavebného zákona.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Ohlásenie stavebných úprav a udržiavacích prác obsahuje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57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údaj o tom, na ktorej stavbe sa majú úpravy alebo práce uskutočniť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(druh pozemku, parcelné číslo pozemku, kat. územie + adresa)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rozsah a účel úprav a prác a ich jednoduchý technický opis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K ohláseniu sa pripojí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doklad preukazujúci vlastnícke alebo iné právo k stavbe; možno ho nahradiť čestným vyhlásením,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písomná dohoda s vlastníkom stavby, ak úpravu alebo udržiavacie práce bude uskutočňovať nájomca, 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stanovisko orgánu štátnej pamiatkovej starostlivosti, ak ide o stavebnú úpravu alebo udržiavacie práce na stavbe, ktorá je kultúrnou pamiatkou, alebo ide o stavbu, ktorá sa nachádza v pamiatkovo chránenom území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údaj o tom, či sa stavebné úpravy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udržiavacie práce budú uskutočňovať zhotoviteľom alebo svojpomocou,</w:t>
      </w:r>
    </w:p>
    <w:p>
      <w:pPr>
        <w:pStyle w:val="Normal"/>
        <w:widowControl/>
        <w:numPr>
          <w:ilvl w:val="2"/>
          <w:numId w:val="3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dodávateľsky: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.................................................................................tel.: 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2"/>
          <w:numId w:val="3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svojpomocne, pod odborným vedením: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numPr>
          <w:ilvl w:val="2"/>
          <w:numId w:val="3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bude určený vo výberovom konaní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Ďalšie prílohy: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zaplatení správneho poplatku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splnomocnenie na zastupovanie (ak ohlásenie podáva stavebník prostredníctvom svojho zástupcu)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jednoduchý situačný výkres pôvodného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navrhovaného stavu  dvoch vyhotoveniach, ktorý obsahuje vyznačenie umiestnenia stavby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stavebné riešenie stavebných úprav – udržiavacích prác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kolaudačné rozhodnutie alebo stavebné povolenie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(fotokópia) 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na stavbu, kde sa majú stavebné úpravy alebo udržiavacie práce uskutočniť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 oprávneného projektanta – statika, že sa nezasahuje do nosných častí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ak je stavba, na ktorej sa majú uskutočniť stavebné úpravy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udržiavacie práce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spoluvlastníctve, je potrebný aj súhlas ostatných vlastníkov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uskutočnením stavebných úprav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udržiavacích prác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právoplatné stavebné povolenie stavby, na ktorej sa budú realizovať stavebné úpravy alebo udržiavacie práce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jednoduchý statický výpočet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(zasklenie balkóna, lodžie, výmena podlahových vrstiev za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ťažšie, nové priečky, výmena bytového jadra  výmena drevenej lodžiovej steny), 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resp. vyjadrenie statika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(vyrezanie dverného otvoru do priečky, odstránenie priečky)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údaje potrebné k vydaniu oznámenia.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dokladov.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Stavebné úpravy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udržiavacie práce možno realizovať až po doručení písomného oznámenia stavebného úradu, že proti ich uskutočňovaniu podľa priloženej projektovej dokumentácie resp. jednoduchého situačného nákresu nemá námietky.</w:t>
      </w:r>
    </w:p>
    <w:p>
      <w:pPr>
        <w:pStyle w:val="Normal"/>
        <w:widowControl/>
        <w:spacing w:lineRule="auto" w:line="276"/>
        <w:jc w:val="both"/>
        <w:rPr>
          <w:rFonts w:ascii="Liberation Sans" w:hAnsi="Liberation Sans" w:cs="Times New Roman"/>
          <w:color w:val="000000"/>
        </w:rPr>
      </w:pPr>
      <w:r>
        <w:rPr>
          <w:rFonts w:cs="Times New Roman" w:ascii="Liberation Sans" w:hAnsi="Liberation Sans"/>
          <w:color w:val="000000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ohlásenia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/>
          <w:lang w:eastAsia="sk-SK" w:bidi="ar-SA"/>
        </w:rPr>
        <w:t>Položka 60a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0" w:firstLine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Ohlásenie drobnej stavby, stavebných úprav a udržiavacích prác pre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právnickú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fyzickú osobu  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/>
          <w:lang w:eastAsia="sk-SK" w:bidi="ar-SA"/>
        </w:rPr>
        <w:t>Oslobodenie</w:t>
      </w:r>
    </w:p>
    <w:p>
      <w:pPr>
        <w:pStyle w:val="Normal"/>
        <w:widowControl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sú oslobodení držitelia preukazu fyzickej osoby s ťažkým zdravotným postihnutím alebo preukazu fyzickej osoby s ťažkým zdravotným postihnutím so sprievodcom.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@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fta"/>
      <w:jc w:val="right"/>
      <w:rPr/>
    </w:pPr>
    <w:r>
      <w:rPr>
        <w:rFonts w:cs="Times New Roman"/>
        <w:lang w:eastAsia="sk-SK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3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b/>
        <w:bCs/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0"/>
      <w:numFmt w:val="bullet"/>
      <w:lvlText w:val=""/>
      <w:lvlJc w:val="left"/>
      <w:pPr>
        <w:ind w:left="1440" w:hanging="360"/>
      </w:pPr>
      <w:rPr>
        <w:rFonts w:ascii="Liberation Serif" w:hAnsi="Liberation Serif" w:cs="Liberation Serif" w:hint="default"/>
        <w:rFonts w:cs="Liberation Serif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Liberation Serif" w:hAnsi="Liberation Serif" w:cs="Liberation Serif" w:hint="default"/>
        <w:rFonts w:cs="Liberation Serif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Liberation Serif" w:hAnsi="Liberation Serif" w:cs="Liberation Serif" w:hint="default"/>
        <w:rFonts w:cs="Liberation Serif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3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Internetovfdfd3fodkaz" w:customStyle="1">
    <w:name w:val="Internetovýfdfd3f odkaz"/>
    <w:basedOn w:val="DefaultParagraphFont"/>
    <w:uiPriority w:val="99"/>
    <w:qFormat/>
    <w:rPr>
      <w:rFonts w:eastAsia="Times New Roman" w:cs="Times New Roman"/>
      <w:color w:val="05507A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fkaChar" w:customStyle="1">
    <w:name w:val="Hlavi�3f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ftaChar" w:customStyle="1">
    <w:name w:val="P�3f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ListLabel1">
    <w:name w:val="ListLabel 1"/>
    <w:qFormat/>
    <w:rPr>
      <w:rFonts w:eastAsia="Times New Roman" w:cs="Times New Roman"/>
      <w:b/>
      <w:bCs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Liberation Serif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Liberation Serif"/>
    </w:rPr>
  </w:style>
  <w:style w:type="character" w:styleId="ListLabel21">
    <w:name w:val="ListLabel 21"/>
    <w:qFormat/>
    <w:rPr>
      <w:rFonts w:cs="Liberation Serif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eastAsia="Times New Roman" w:cs="Times New Roman"/>
      <w:b w:val="false"/>
      <w:bCs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eastAsia="Times New Roman" w:cs="Times New Roman"/>
    </w:rPr>
  </w:style>
  <w:style w:type="character" w:styleId="ListLabel33">
    <w:name w:val="ListLabel 33"/>
    <w:qFormat/>
    <w:rPr>
      <w:rFonts w:eastAsia="Times New Roman" w:cs="Times New Roman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6">
    <w:name w:val="ListLabel 36"/>
    <w:qFormat/>
    <w:rPr>
      <w:rFonts w:eastAsia="Times New Roman" w:cs="Times New Roman"/>
    </w:rPr>
  </w:style>
  <w:style w:type="character" w:styleId="ListLabel37">
    <w:name w:val="ListLabel 37"/>
    <w:qFormat/>
    <w:rPr>
      <w:rFonts w:eastAsia="Times New Roman" w:cs="Times New Roman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eastAsia="Times New Roman" w:cs="Times New Roman"/>
    </w:rPr>
  </w:style>
  <w:style w:type="character" w:styleId="ListLabel40">
    <w:name w:val="ListLabel 40"/>
    <w:qFormat/>
    <w:rPr>
      <w:rFonts w:eastAsia="Times New Roman" w:cs="Times New Roman"/>
    </w:rPr>
  </w:style>
  <w:style w:type="character" w:styleId="ListLabel41">
    <w:name w:val="ListLabel 41"/>
    <w:qFormat/>
    <w:rPr>
      <w:rFonts w:eastAsia="Times New Roman" w:cs="Times New Roman"/>
    </w:rPr>
  </w:style>
  <w:style w:type="character" w:styleId="ListLabel42">
    <w:name w:val="ListLabel 42"/>
    <w:qFormat/>
    <w:rPr>
      <w:rFonts w:eastAsia="Times New Roman" w:cs="Times New Roman"/>
    </w:rPr>
  </w:style>
  <w:style w:type="character" w:styleId="ListLabel43">
    <w:name w:val="ListLabel 43"/>
    <w:qFormat/>
    <w:rPr>
      <w:rFonts w:eastAsia="Times New Roman" w:cs="Times New Roman"/>
    </w:rPr>
  </w:style>
  <w:style w:type="character" w:styleId="ListLabel44">
    <w:name w:val="ListLabel 44"/>
    <w:qFormat/>
    <w:rPr>
      <w:rFonts w:eastAsia="Times New Roman" w:cs="Times New Roman"/>
    </w:rPr>
  </w:style>
  <w:style w:type="character" w:styleId="ListLabel45">
    <w:name w:val="ListLabel 45"/>
    <w:qFormat/>
    <w:rPr>
      <w:rFonts w:eastAsia="Times New Roman" w:cs="Times New Roma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uppressAutoHyphens w:val="false"/>
      <w:spacing w:before="240" w:after="120"/>
    </w:pPr>
    <w:rPr>
      <w:rFonts w:ascii="@Liberation Sans" w:hAnsi="@Liberation Sans" w:eastAsia="Times New Roman" w:cs="@Liberation 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uppressAutoHyphens w:val="false"/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AutoHyphens w:val="false"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uppressAutoHyphens w:val="false"/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DocumentMap" w:customStyle="1">
    <w:name w:val="Document Map"/>
    <w:uiPriority w:val="99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sk-SK" w:eastAsia="sk-SK" w:bidi="ar-SA"/>
    </w:rPr>
  </w:style>
  <w:style w:type="paragraph" w:styleId="L2parago" w:customStyle="1">
    <w:name w:val="l2 para go"/>
    <w:uiPriority w:val="99"/>
    <w:qFormat/>
    <w:pPr>
      <w:widowControl/>
      <w:suppressAutoHyphens w:val="true"/>
      <w:bidi w:val="0"/>
      <w:spacing w:lineRule="auto" w:line="240" w:before="144" w:after="144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L3" w:customStyle="1">
    <w:name w:val="l3"/>
    <w:uiPriority w:val="99"/>
    <w:qFormat/>
    <w:pPr>
      <w:widowControl/>
      <w:suppressAutoHyphens w:val="true"/>
      <w:bidi w:val="0"/>
      <w:spacing w:lineRule="auto" w:line="240" w:before="144" w:after="144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L3go" w:customStyle="1">
    <w:name w:val="l3  go"/>
    <w:uiPriority w:val="99"/>
    <w:qFormat/>
    <w:pPr>
      <w:widowControl/>
      <w:suppressAutoHyphens w:val="true"/>
      <w:bidi w:val="0"/>
      <w:spacing w:lineRule="auto" w:line="240" w:before="144" w:after="144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P3ff3fta" w:customStyle="1">
    <w:name w:val="P�3f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f3fmca" w:customStyle="1">
    <w:name w:val="Obsah r�3f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fka" w:customStyle="1">
    <w:name w:val="Hlavi�3f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Liberation Sans" w:hAnsi="Liberation Sans" w:eastAsia="Times New Roman" w:cs="Liberation Sans"/>
      <w:color w:val="000000"/>
    </w:rPr>
  </w:style>
  <w:style w:type="paragraph" w:styleId="P3ffta" w:customStyle="1">
    <w:name w:val="P�3f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Liberation Sans" w:hAnsi="Liberation Sans" w:eastAsia="Times New Roman" w:cs="Liberation Sans"/>
      <w:color w:val="000000"/>
    </w:rPr>
  </w:style>
  <w:style w:type="paragraph" w:styleId="Hlavi3fka" w:customStyle="1">
    <w:name w:val="Hlavič3fka"/>
    <w:basedOn w:val="Normal"/>
    <w:uiPriority w:val="99"/>
    <w:qFormat/>
    <w:pPr>
      <w:suppressAutoHyphens w:val="false"/>
    </w:pPr>
    <w:rPr/>
  </w:style>
  <w:style w:type="paragraph" w:styleId="Pe4ta" w:customStyle="1">
    <w:name w:val="Päe4ta"/>
    <w:basedOn w:val="Normal"/>
    <w:uiPriority w:val="99"/>
    <w:qFormat/>
    <w:pPr>
      <w:suppressAutoHyphens w:val="false"/>
    </w:pPr>
    <w:rPr/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LibreOffice/6.2.4.2$Windows_x86 LibreOffice_project/2412653d852ce75f65fbfa83fb7e7b669a126d64</Application>
  <Pages>4</Pages>
  <Words>581</Words>
  <Characters>7699</Characters>
  <CharactersWithSpaces>8194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2019-11-18T11:58:00Z</dcterms:created>
  <dc:creator>Zuzana</dc:creator>
  <dc:description/>
  <dc:language>sk-SK</dc:language>
  <cp:lastModifiedBy/>
  <dcterms:modified xsi:type="dcterms:W3CDTF">2022-11-23T11:56:52Z</dcterms:modified>
  <cp:revision>3</cp:revision>
  <dc:subject/>
  <dc:title>Stavebník/žiadateľ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