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lotextu"/>
        <w:spacing w:before="1" w:after="0"/>
        <w:ind w:left="0" w:hanging="0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</w:r>
    </w:p>
    <w:p>
      <w:pPr>
        <w:pStyle w:val="Normal"/>
        <w:spacing w:before="93" w:after="0"/>
        <w:ind w:left="1986" w:right="1988" w:hanging="0"/>
        <w:jc w:val="center"/>
        <w:rPr>
          <w:b/>
          <w:b/>
          <w:sz w:val="24"/>
        </w:rPr>
      </w:pPr>
      <w:r>
        <w:rPr>
          <w:b/>
          <w:sz w:val="24"/>
        </w:rPr>
        <w:t>OPIS PREDMETU ZÁKAZKY A TECHNICKÁ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ŠPECIFIKÁCIA</w:t>
      </w:r>
    </w:p>
    <w:p>
      <w:pPr>
        <w:pStyle w:val="Telotextu"/>
        <w:spacing w:before="3" w:after="0"/>
        <w:ind w:left="0" w:hanging="0"/>
        <w:rPr>
          <w:b/>
          <w:b/>
          <w:sz w:val="36"/>
        </w:rPr>
      </w:pPr>
      <w:r>
        <w:rPr>
          <w:b/>
          <w:sz w:val="36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461" w:leader="none"/>
        </w:tabs>
        <w:spacing w:lineRule="auto" w:line="295" w:before="0" w:after="0"/>
        <w:ind w:left="460" w:right="823" w:hanging="361"/>
        <w:rPr/>
      </w:pPr>
      <w:r>
        <w:rPr/>
        <w:t>Predmetom zákazky je poskytnutie služby: „</w:t>
      </w:r>
      <w:r>
        <w:rPr>
          <w:b/>
        </w:rPr>
        <w:t>Poskytovanie služby verejného osvetlenia v obci Nižné Ladičkovce</w:t>
      </w:r>
      <w:r>
        <w:rPr/>
        <w:t>“, spočívajúceho</w:t>
      </w:r>
      <w:r>
        <w:rPr>
          <w:spacing w:val="-1"/>
        </w:rPr>
        <w:t xml:space="preserve"> </w:t>
      </w:r>
      <w:r>
        <w:rPr/>
        <w:t>v: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245" w:leader="none"/>
          <w:tab w:val="left" w:pos="1246" w:leader="none"/>
        </w:tabs>
        <w:spacing w:before="4" w:after="0"/>
        <w:ind w:left="1245" w:hanging="721"/>
        <w:rPr/>
      </w:pPr>
      <w:r>
        <w:rPr/>
        <w:t>Demontáží jestvujúcej sústavy osvetlenia – svietidlá, výložníky, rozvádzač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245" w:leader="none"/>
          <w:tab w:val="left" w:pos="1246" w:leader="none"/>
        </w:tabs>
        <w:spacing w:before="64" w:after="0"/>
        <w:ind w:left="1245" w:hanging="721"/>
        <w:rPr/>
      </w:pPr>
      <w:r>
        <w:rPr/>
        <w:t>Montáži navrhovanej sústavy osvetlenia - svietidlá, výložníky, rozvádzača verejného osvetlenia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245" w:leader="none"/>
          <w:tab w:val="left" w:pos="1246" w:leader="none"/>
        </w:tabs>
        <w:spacing w:before="63" w:after="0"/>
        <w:ind w:left="1245" w:hanging="721"/>
        <w:rPr/>
      </w:pPr>
      <w:r>
        <w:rPr/>
        <w:t>Prevádzke/údržbe navrhovanej sústavy osvetlenia, počas trvania</w:t>
      </w:r>
      <w:r>
        <w:rPr>
          <w:spacing w:val="-32"/>
        </w:rPr>
        <w:t xml:space="preserve"> </w:t>
      </w:r>
      <w:r>
        <w:rPr/>
        <w:t>zmluvy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245" w:leader="none"/>
          <w:tab w:val="left" w:pos="1246" w:leader="none"/>
        </w:tabs>
        <w:spacing w:lineRule="auto" w:line="300"/>
        <w:ind w:left="1245" w:right="119" w:hanging="720"/>
        <w:rPr/>
      </w:pPr>
      <w:r>
        <w:rPr/>
        <w:t>Prevzatie zodpovednosti za spotrebu elektrickej energie vrátane distribučných poplatkov, počas trvania</w:t>
      </w:r>
      <w:r>
        <w:rPr>
          <w:spacing w:val="-2"/>
        </w:rPr>
        <w:t xml:space="preserve"> </w:t>
      </w:r>
      <w:r>
        <w:rPr/>
        <w:t>zmluvy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461" w:leader="none"/>
        </w:tabs>
        <w:spacing w:before="1" w:after="0"/>
        <w:rPr/>
      </w:pPr>
      <w:r>
        <w:rPr/>
        <w:t xml:space="preserve">Demontáž 47 ks svietidiel 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461" w:leader="none"/>
        </w:tabs>
        <w:spacing w:before="64" w:after="0"/>
        <w:rPr/>
      </w:pPr>
      <w:r>
        <w:rPr/>
        <w:t>Montáž LED svietidlá verejného osvetlenia v počte 47</w:t>
      </w:r>
      <w:r>
        <w:rPr>
          <w:spacing w:val="-21"/>
        </w:rPr>
        <w:t xml:space="preserve"> </w:t>
      </w:r>
      <w:r>
        <w:rPr/>
        <w:t>kusov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461" w:leader="none"/>
        </w:tabs>
        <w:rPr/>
      </w:pPr>
      <w:r>
        <w:rPr/>
        <w:t>Demontáž 10 ks výložníkov na betónových podperných</w:t>
      </w:r>
      <w:r>
        <w:rPr>
          <w:spacing w:val="-29"/>
        </w:rPr>
        <w:t xml:space="preserve"> </w:t>
      </w:r>
      <w:r>
        <w:rPr/>
        <w:t>bodoch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461" w:leader="none"/>
        </w:tabs>
        <w:spacing w:before="64" w:after="0"/>
        <w:rPr/>
      </w:pPr>
      <w:r>
        <w:rPr/>
        <w:t>Montáž 10 ks výložníkov pre LED svietidlá verejného osvetlenia, dĺžka výložníkov min.0,5</w:t>
      </w:r>
      <w:r>
        <w:rPr>
          <w:spacing w:val="-40"/>
        </w:rPr>
        <w:t xml:space="preserve"> </w:t>
      </w:r>
      <w:r>
        <w:rPr/>
        <w:t>m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461" w:leader="none"/>
        </w:tabs>
        <w:spacing w:before="64" w:after="0"/>
        <w:rPr/>
      </w:pPr>
      <w:r>
        <w:rPr/>
        <w:t>Demontáž rozvádzača verejného osvetlenia v počte 1 ks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461" w:leader="none"/>
        </w:tabs>
        <w:spacing w:before="64" w:after="0"/>
        <w:rPr/>
      </w:pPr>
      <w:r>
        <w:rPr/>
        <w:t>Montáž rozvádzača verejného osvetlenia v počte 1 ks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461" w:leader="none"/>
        </w:tabs>
        <w:spacing w:before="64" w:after="0"/>
        <w:rPr/>
      </w:pPr>
      <w:r>
        <w:rPr/>
        <w:t>Demontáž neizolovaného vodiča Alfe 2500m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461" w:leader="none"/>
        </w:tabs>
        <w:spacing w:before="64" w:after="0"/>
        <w:rPr/>
      </w:pPr>
      <w:r>
        <w:rPr/>
        <w:t>Montáž izolovaného vodiča NFA2X 2x25 2500m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08" w:leader="none"/>
          <w:tab w:val="left" w:pos="809" w:leader="none"/>
        </w:tabs>
        <w:spacing w:lineRule="auto" w:line="295" w:before="64" w:after="0"/>
        <w:ind w:left="460" w:right="496" w:hanging="361"/>
        <w:rPr/>
      </w:pPr>
      <w:r>
        <w:rPr/>
        <w:t>Prevzatie zodpovednosti za spotrebu elektrickej energie sústavy verejného osvetlenia min. 3900 hodín/rok, vrátane distribučných poplatkov,</w:t>
      </w:r>
      <w:r>
        <w:rPr>
          <w:spacing w:val="-6"/>
        </w:rPr>
        <w:t xml:space="preserve"> </w:t>
      </w:r>
      <w:r>
        <w:rPr/>
        <w:t>pre: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246" w:leader="none"/>
        </w:tabs>
        <w:spacing w:before="4" w:after="0"/>
        <w:ind w:left="1245" w:hanging="721"/>
        <w:rPr/>
      </w:pPr>
      <w:r>
        <w:rPr/>
        <w:t>47ks LED svietidiel umiestnených na podperných</w:t>
      </w:r>
      <w:r>
        <w:rPr>
          <w:spacing w:val="-37"/>
        </w:rPr>
        <w:t xml:space="preserve"> </w:t>
      </w:r>
      <w:r>
        <w:rPr/>
        <w:t xml:space="preserve">bodoch 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08" w:leader="none"/>
          <w:tab w:val="left" w:pos="809" w:leader="none"/>
        </w:tabs>
        <w:spacing w:before="61" w:after="0"/>
        <w:ind w:left="808" w:hanging="709"/>
        <w:rPr/>
      </w:pPr>
      <w:r>
        <w:rPr/>
        <w:t>Prevzatie zodpovednosti za údržbu sústavy</w:t>
      </w:r>
      <w:r>
        <w:rPr>
          <w:spacing w:val="-20"/>
        </w:rPr>
        <w:t xml:space="preserve"> </w:t>
      </w:r>
      <w:r>
        <w:rPr/>
        <w:t>osvetlenia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08" w:leader="none"/>
          <w:tab w:val="left" w:pos="809" w:leader="none"/>
        </w:tabs>
        <w:spacing w:lineRule="auto" w:line="300" w:before="64" w:after="0"/>
        <w:ind w:left="808" w:right="461" w:hanging="709"/>
        <w:rPr/>
      </w:pPr>
      <w:r>
        <w:rPr/>
        <w:t>Regulácia osvetlenia v nočných hodinách od 23,00 - 4,00, na 50% príkonu svietidla, pre svietidlá inštalované počas rekonštrukcie sústavy verejného</w:t>
      </w:r>
      <w:r>
        <w:rPr>
          <w:spacing w:val="-7"/>
        </w:rPr>
        <w:t xml:space="preserve"> </w:t>
      </w:r>
      <w:r>
        <w:rPr/>
        <w:t>osvetlenia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08" w:leader="none"/>
          <w:tab w:val="left" w:pos="809" w:leader="none"/>
        </w:tabs>
        <w:spacing w:lineRule="exact" w:line="252" w:before="0" w:after="0"/>
        <w:ind w:left="808" w:hanging="709"/>
        <w:rPr/>
      </w:pPr>
      <w:r>
        <w:rPr/>
        <w:t>Servis a údržba sústavy verejného osvetlenia, počas trvania</w:t>
      </w:r>
      <w:r>
        <w:rPr>
          <w:spacing w:val="-24"/>
        </w:rPr>
        <w:t xml:space="preserve"> </w:t>
      </w:r>
      <w:r>
        <w:rPr/>
        <w:t>zmluvy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08" w:leader="none"/>
          <w:tab w:val="left" w:pos="809" w:leader="none"/>
        </w:tabs>
        <w:spacing w:before="64" w:after="0"/>
        <w:ind w:left="808" w:hanging="709"/>
        <w:rPr/>
      </w:pPr>
      <w:r>
        <w:rPr/>
        <w:t>Pravidelné vykonávanie revíznych správ, počas trvania</w:t>
      </w:r>
      <w:r>
        <w:rPr>
          <w:spacing w:val="-22"/>
        </w:rPr>
        <w:t xml:space="preserve"> </w:t>
      </w:r>
      <w:r>
        <w:rPr/>
        <w:t>zmluvy</w:t>
      </w:r>
    </w:p>
    <w:p>
      <w:pPr>
        <w:pStyle w:val="Telotextu"/>
        <w:spacing w:before="1" w:after="0"/>
        <w:ind w:left="0" w:hanging="0"/>
        <w:rPr>
          <w:sz w:val="33"/>
        </w:rPr>
      </w:pPr>
      <w:r>
        <w:rPr>
          <w:sz w:val="33"/>
        </w:rPr>
      </w:r>
    </w:p>
    <w:p>
      <w:pPr>
        <w:pStyle w:val="Nadpis1"/>
        <w:rPr/>
      </w:pPr>
      <w:r>
        <w:rPr/>
        <w:t>Všeobecné</w:t>
      </w:r>
      <w:r>
        <w:rPr>
          <w:spacing w:val="-8"/>
        </w:rPr>
        <w:t xml:space="preserve"> </w:t>
      </w:r>
      <w:r>
        <w:rPr/>
        <w:t>informácie</w:t>
      </w:r>
    </w:p>
    <w:p>
      <w:pPr>
        <w:pStyle w:val="Telotextu"/>
        <w:spacing w:before="61" w:after="0"/>
        <w:ind w:left="100" w:hanging="0"/>
        <w:rPr/>
      </w:pPr>
      <w:r>
        <w:rPr/>
        <w:t>Dôvod výstavby sústavy verejného osvetlenia a uzatvorenia Zmluvy o poskytovaní</w:t>
      </w:r>
      <w:r>
        <w:rPr>
          <w:spacing w:val="-34"/>
        </w:rPr>
        <w:t xml:space="preserve"> </w:t>
      </w:r>
      <w:r>
        <w:rPr/>
        <w:t>služby: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spacing w:before="64" w:after="0"/>
        <w:ind w:left="820" w:hanging="361"/>
        <w:rPr/>
      </w:pPr>
      <w:r>
        <w:rPr/>
        <w:t>Potreba rekonštrukcie sústavy verejného osvetlenia z dôvodu jej fyzickej</w:t>
      </w:r>
      <w:r>
        <w:rPr>
          <w:spacing w:val="-31"/>
        </w:rPr>
        <w:t xml:space="preserve"> </w:t>
      </w:r>
      <w:r>
        <w:rPr/>
        <w:t>zastaranosti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ind w:left="820" w:hanging="361"/>
        <w:rPr/>
      </w:pPr>
      <w:r>
        <w:rPr/>
        <w:t>vyhnúť sa budúcim investíciám do svetelnej sústavy verejného</w:t>
      </w:r>
      <w:r>
        <w:rPr>
          <w:spacing w:val="-32"/>
        </w:rPr>
        <w:t xml:space="preserve"> </w:t>
      </w:r>
      <w:r>
        <w:rPr/>
        <w:t>osvetlenia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spacing w:lineRule="auto" w:line="292"/>
        <w:ind w:left="820" w:right="202" w:hanging="360"/>
        <w:rPr/>
      </w:pPr>
      <w:r>
        <w:rPr/>
        <w:t>preniesť komplexnú zodpovednosť za prevádzku a realizáciu modernizácie celej sústavy verejného osvetlenia z obce na externú</w:t>
      </w:r>
      <w:r>
        <w:rPr>
          <w:spacing w:val="-2"/>
        </w:rPr>
        <w:t xml:space="preserve"> </w:t>
      </w:r>
      <w:r>
        <w:rPr/>
        <w:t>spoločnosť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spacing w:before="5" w:after="0"/>
        <w:ind w:left="820" w:hanging="361"/>
        <w:rPr/>
      </w:pPr>
      <w:r>
        <w:rPr/>
        <w:t>Preventívne údržbové práce podľa platných noriem</w:t>
      </w:r>
      <w:r>
        <w:rPr>
          <w:spacing w:val="-26"/>
        </w:rPr>
        <w:t xml:space="preserve"> </w:t>
      </w:r>
      <w:r>
        <w:rPr/>
        <w:t>STN-EN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ind w:left="820" w:hanging="361"/>
        <w:rPr/>
      </w:pPr>
      <w:r>
        <w:rPr/>
        <w:t>zvýšiť kvalitu života obyvateľov a tým aj</w:t>
      </w:r>
      <w:r>
        <w:rPr>
          <w:spacing w:val="-22"/>
        </w:rPr>
        <w:t xml:space="preserve"> </w:t>
      </w:r>
      <w:r>
        <w:rPr/>
        <w:t>bezpečnosť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spacing w:before="61" w:after="0"/>
        <w:ind w:left="820" w:hanging="361"/>
        <w:rPr/>
      </w:pPr>
      <w:r>
        <w:rPr/>
        <w:t>zvýšiť estetickú hodnotu</w:t>
      </w:r>
      <w:r>
        <w:rPr>
          <w:spacing w:val="-10"/>
        </w:rPr>
        <w:t xml:space="preserve"> </w:t>
      </w:r>
      <w:r>
        <w:rPr/>
        <w:t>obce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spacing w:lineRule="auto" w:line="290"/>
        <w:ind w:left="820" w:right="528" w:hanging="360"/>
        <w:rPr/>
      </w:pPr>
      <w:r>
        <w:rPr/>
        <w:t>znížiť energetickú náročnosť sústavy verejného osvetlenia, uviesť sústavu do akceptovateľného technického stavu a zvýšiť technickú úroveň</w:t>
      </w:r>
      <w:r>
        <w:rPr>
          <w:spacing w:val="-3"/>
        </w:rPr>
        <w:t xml:space="preserve"> </w:t>
      </w:r>
      <w:r>
        <w:rPr/>
        <w:t>osvetlenia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spacing w:before="8" w:after="0"/>
        <w:ind w:left="820" w:hanging="361"/>
        <w:rPr/>
      </w:pPr>
      <w:r>
        <w:rPr/>
        <w:t>zabezpečiť čo najdlhšiu životnosť</w:t>
      </w:r>
      <w:r>
        <w:rPr>
          <w:spacing w:val="-24"/>
        </w:rPr>
        <w:t xml:space="preserve"> </w:t>
      </w:r>
      <w:r>
        <w:rPr/>
        <w:t>osvetlenia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ind w:left="820" w:hanging="361"/>
        <w:rPr/>
      </w:pPr>
      <w:r>
        <w:rPr/>
        <w:t>inštalovať LED svietidla najnovšej</w:t>
      </w:r>
      <w:r>
        <w:rPr>
          <w:spacing w:val="-25"/>
        </w:rPr>
        <w:t xml:space="preserve"> </w:t>
      </w:r>
      <w:r>
        <w:rPr/>
        <w:t>generácie</w:t>
      </w:r>
    </w:p>
    <w:p>
      <w:pPr>
        <w:sectPr>
          <w:headerReference w:type="default" r:id="rId2"/>
          <w:type w:val="nextPage"/>
          <w:pgSz w:w="11906" w:h="16838"/>
          <w:pgMar w:left="620" w:right="620" w:header="708" w:top="1200" w:footer="0" w:bottom="280" w:gutter="0"/>
          <w:pgNumType w:fmt="decimal"/>
          <w:formProt w:val="false"/>
          <w:textDirection w:val="lrTb"/>
        </w:sectPr>
      </w:pPr>
    </w:p>
    <w:p>
      <w:pPr>
        <w:pStyle w:val="Nadpis1"/>
        <w:spacing w:before="83" w:after="0"/>
        <w:rPr/>
      </w:pPr>
      <w:r>
        <w:rPr/>
        <w:t>POŽADOVANÉ TECHNICKÉ RIEŠENIE PRE VYPRACOVANIE CENOVEJ</w:t>
      </w:r>
      <w:r>
        <w:rPr>
          <w:spacing w:val="-31"/>
        </w:rPr>
        <w:t xml:space="preserve"> </w:t>
      </w:r>
      <w:r>
        <w:rPr/>
        <w:t>PONUKY:</w:t>
      </w:r>
    </w:p>
    <w:p>
      <w:pPr>
        <w:pStyle w:val="Telotextu"/>
        <w:spacing w:before="64" w:after="0"/>
        <w:ind w:left="100" w:hanging="0"/>
        <w:rPr/>
      </w:pPr>
      <w:r>
        <w:rPr/>
        <w:t>Celkový navrhovaný výkon svietidiel musí byť v</w:t>
      </w:r>
      <w:r>
        <w:rPr>
          <w:spacing w:val="-27"/>
        </w:rPr>
        <w:t xml:space="preserve"> </w:t>
      </w:r>
      <w:r>
        <w:rPr/>
        <w:t>rozsahu: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spacing w:before="64" w:after="0"/>
        <w:ind w:left="820" w:hanging="361"/>
        <w:rPr/>
      </w:pPr>
      <w:r>
        <w:rPr/>
        <w:t>navrhovaný meraný výkon svietidla min. 95</w:t>
      </w:r>
      <w:r>
        <w:rPr>
          <w:spacing w:val="-18"/>
        </w:rPr>
        <w:t xml:space="preserve"> </w:t>
      </w:r>
      <w:r>
        <w:rPr/>
        <w:t>lm/W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ind w:left="820" w:hanging="361"/>
        <w:rPr/>
      </w:pPr>
      <w:r>
        <w:rPr/>
        <w:t>účinník svietidla cosφ≥</w:t>
      </w:r>
      <w:r>
        <w:rPr>
          <w:spacing w:val="-14"/>
        </w:rPr>
        <w:t xml:space="preserve"> </w:t>
      </w:r>
      <w:r>
        <w:rPr/>
        <w:t>0,95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spacing w:before="61" w:after="0"/>
        <w:ind w:left="820" w:hanging="361"/>
        <w:rPr/>
      </w:pPr>
      <w:r>
        <w:rPr/>
        <w:t>navrhovaný merný svetelný tok svietidla min. 3300</w:t>
      </w:r>
      <w:r>
        <w:rPr>
          <w:spacing w:val="-24"/>
        </w:rPr>
        <w:t xml:space="preserve"> </w:t>
      </w:r>
      <w:r>
        <w:rPr/>
        <w:t>lm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ind w:left="820" w:hanging="361"/>
        <w:rPr/>
      </w:pPr>
      <w:r>
        <w:rPr/>
        <w:t>náhradná teplota chromatičnosti LED musí byť max. 4000</w:t>
      </w:r>
      <w:r>
        <w:rPr>
          <w:spacing w:val="-24"/>
        </w:rPr>
        <w:t xml:space="preserve"> </w:t>
      </w:r>
      <w:r>
        <w:rPr/>
        <w:t>K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spacing w:lineRule="auto" w:line="295"/>
        <w:ind w:left="820" w:right="143" w:hanging="360"/>
        <w:rPr/>
      </w:pPr>
      <w:r>
        <w:rPr/>
        <w:t>stupeň ochrany svietidla proti mechanickým nárazom min. IK08 – vysoká mechanická pevnosť svietidla zaručuje jeho odolnosť proti útokom vandalov, pádu konárov stromov či pádu ľadu a snehu zo striech domov a</w:t>
      </w:r>
      <w:r>
        <w:rPr>
          <w:spacing w:val="-3"/>
        </w:rPr>
        <w:t xml:space="preserve"> </w:t>
      </w:r>
      <w:r>
        <w:rPr/>
        <w:t>pod.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spacing w:before="0" w:after="0"/>
        <w:ind w:left="820" w:hanging="361"/>
        <w:rPr/>
      </w:pPr>
      <w:r>
        <w:rPr/>
        <w:t>svietidlá musia byť vyrobené v súlade s normami: STN EN 60 598-1, STN EN 60</w:t>
      </w:r>
      <w:r>
        <w:rPr>
          <w:spacing w:val="-25"/>
        </w:rPr>
        <w:t xml:space="preserve"> </w:t>
      </w:r>
      <w:r>
        <w:rPr/>
        <w:t>598-2-3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ind w:left="820" w:hanging="361"/>
        <w:rPr/>
      </w:pPr>
      <w:r>
        <w:rPr/>
        <w:t>index podania farieb musí byť minimálne Ra =</w:t>
      </w:r>
      <w:r>
        <w:rPr>
          <w:spacing w:val="-21"/>
        </w:rPr>
        <w:t xml:space="preserve"> </w:t>
      </w:r>
      <w:r>
        <w:rPr/>
        <w:t>70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ind w:left="820" w:hanging="361"/>
        <w:rPr/>
      </w:pPr>
      <w:r>
        <w:rPr/>
        <w:t>typ, dizajn a rozmery svietidla musia byť identické pre všetky príkony dodávané v rámci</w:t>
      </w:r>
      <w:r>
        <w:rPr>
          <w:spacing w:val="-40"/>
        </w:rPr>
        <w:t xml:space="preserve"> </w:t>
      </w:r>
      <w:r>
        <w:rPr/>
        <w:t>projektu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spacing w:lineRule="auto" w:line="292"/>
        <w:ind w:left="820" w:right="490" w:hanging="360"/>
        <w:rPr/>
      </w:pPr>
      <w:r>
        <w:rPr/>
        <w:t>všetky svietidlá budú s kĺbovým uchytením a možnosťou nastavenia uhla vertikálneho natočenia svietidla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spacing w:lineRule="auto" w:line="295" w:before="5" w:after="0"/>
        <w:ind w:left="820" w:right="149" w:hanging="360"/>
        <w:rPr/>
      </w:pPr>
      <w:r>
        <w:rPr/>
        <w:t>krytie svietidla musí byť minimálne IP66. Vysoké krytie svietidla proti vniknutiu pevných častí a vody zaručuje stabilitu mechanických i optických parametrov svietidla, odolnosť svietidla proti vniknutiu prachu a vlhkosti dovoľuje použitie moderných elektronických komponentov do svietidla a zvyšuje prevádzkovú spoľahlivosť</w:t>
      </w:r>
      <w:r>
        <w:rPr>
          <w:spacing w:val="-1"/>
        </w:rPr>
        <w:t xml:space="preserve"> </w:t>
      </w:r>
      <w:r>
        <w:rPr/>
        <w:t>svietidla.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spacing w:lineRule="auto" w:line="292" w:before="4" w:after="0"/>
        <w:ind w:left="820" w:right="208" w:hanging="360"/>
        <w:rPr/>
      </w:pPr>
      <w:r>
        <w:rPr/>
        <w:t>svetelný tok svetelného zdroja nesmie klesnúť pod 80% nominálneho svetelného toku po dobu 100 000 prevádzkových</w:t>
      </w:r>
      <w:r>
        <w:rPr>
          <w:spacing w:val="-3"/>
        </w:rPr>
        <w:t xml:space="preserve"> </w:t>
      </w:r>
      <w:r>
        <w:rPr/>
        <w:t>hodín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spacing w:lineRule="auto" w:line="292" w:before="3" w:after="0"/>
        <w:ind w:left="820" w:right="164" w:hanging="360"/>
        <w:rPr/>
      </w:pPr>
      <w:r>
        <w:rPr/>
        <w:t>súčasťou ponuky musí byť katalógový list svietidla, ktorý bude obsahovať všetky požadované údaje o svietidle a prehlásenie o zhode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spacing w:lineRule="auto" w:line="292" w:before="5" w:after="0"/>
        <w:ind w:left="820" w:right="109" w:hanging="360"/>
        <w:rPr/>
      </w:pPr>
      <w:r>
        <w:rPr/>
        <w:t>rozvádzače verejného osvetlenia vybaviť prvkami regulácie programovateľné spínacie astrohodiny s možnosťou</w:t>
      </w:r>
      <w:r>
        <w:rPr>
          <w:spacing w:val="-1"/>
        </w:rPr>
        <w:t xml:space="preserve"> </w:t>
      </w:r>
      <w:r>
        <w:rPr/>
        <w:t>nastavenia: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1" w:leader="none"/>
        </w:tabs>
        <w:spacing w:before="7" w:after="0"/>
        <w:ind w:left="1540" w:hanging="361"/>
        <w:rPr/>
      </w:pPr>
      <w:r>
        <w:rPr/>
        <w:t>zapnutia/vypnutia pri výhode/západe</w:t>
      </w:r>
      <w:r>
        <w:rPr>
          <w:spacing w:val="-24"/>
        </w:rPr>
        <w:t xml:space="preserve"> </w:t>
      </w:r>
      <w:r>
        <w:rPr/>
        <w:t>slnka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1" w:leader="none"/>
        </w:tabs>
        <w:spacing w:before="44" w:after="0"/>
        <w:ind w:left="1540" w:hanging="361"/>
        <w:rPr/>
      </w:pPr>
      <w:r>
        <w:rPr/>
        <w:t>prednastavené súradnice pre európske</w:t>
      </w:r>
      <w:r>
        <w:rPr>
          <w:spacing w:val="-20"/>
        </w:rPr>
        <w:t xml:space="preserve"> </w:t>
      </w:r>
      <w:r>
        <w:rPr/>
        <w:t>mestá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1" w:leader="none"/>
        </w:tabs>
        <w:spacing w:before="42" w:after="0"/>
        <w:ind w:left="1540" w:hanging="361"/>
        <w:rPr/>
      </w:pPr>
      <w:r>
        <w:rPr/>
        <w:t>k východu a západu slnka je možné pri programovaní pridať alebo odobrať 120</w:t>
      </w:r>
      <w:r>
        <w:rPr>
          <w:spacing w:val="-33"/>
        </w:rPr>
        <w:t xml:space="preserve"> </w:t>
      </w:r>
      <w:r>
        <w:rPr/>
        <w:t>minút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1" w:leader="none"/>
        </w:tabs>
        <w:spacing w:before="44" w:after="0"/>
        <w:ind w:left="1540" w:hanging="361"/>
        <w:rPr/>
      </w:pPr>
      <w:r>
        <w:rPr/>
        <w:t>Dvojkanálové prevedenie, kedy každý kanál je programovateľný nezávisle na</w:t>
      </w:r>
      <w:r>
        <w:rPr>
          <w:spacing w:val="-41"/>
        </w:rPr>
        <w:t xml:space="preserve"> </w:t>
      </w:r>
      <w:r>
        <w:rPr/>
        <w:t>druhom.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1" w:leader="none"/>
        </w:tabs>
        <w:spacing w:before="45" w:after="0"/>
        <w:ind w:left="1540" w:hanging="361"/>
        <w:rPr/>
      </w:pPr>
      <w:r>
        <w:rPr/>
        <w:t>Automatické prepínanie zimný / letný</w:t>
      </w:r>
      <w:r>
        <w:rPr>
          <w:spacing w:val="-20"/>
        </w:rPr>
        <w:t xml:space="preserve"> </w:t>
      </w:r>
      <w:r>
        <w:rPr/>
        <w:t>čas.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1" w:leader="none"/>
        </w:tabs>
        <w:spacing w:before="44" w:after="0"/>
        <w:ind w:left="1540" w:hanging="361"/>
        <w:rPr/>
      </w:pPr>
      <w:r>
        <w:rPr/>
        <w:t>Plombovateľný priehľadný kryt predného</w:t>
      </w:r>
      <w:r>
        <w:rPr>
          <w:spacing w:val="-30"/>
        </w:rPr>
        <w:t xml:space="preserve"> </w:t>
      </w:r>
      <w:r>
        <w:rPr/>
        <w:t>panelu.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1" w:leader="none"/>
        </w:tabs>
        <w:spacing w:before="42" w:after="0"/>
        <w:ind w:left="1540" w:hanging="361"/>
        <w:rPr/>
      </w:pPr>
      <w:r>
        <w:rPr/>
        <w:t>Zálohovanie dát a času pomocou</w:t>
      </w:r>
      <w:r>
        <w:rPr>
          <w:spacing w:val="-22"/>
        </w:rPr>
        <w:t xml:space="preserve"> </w:t>
      </w:r>
      <w:r>
        <w:rPr/>
        <w:t>batérie.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1" w:leader="none"/>
        </w:tabs>
        <w:spacing w:before="44" w:after="0"/>
        <w:ind w:left="1540" w:hanging="361"/>
        <w:rPr/>
      </w:pPr>
      <w:r>
        <w:rPr/>
        <w:t>Možnosť napojenia: AC 230 V alebo</w:t>
      </w:r>
      <w:r>
        <w:rPr>
          <w:spacing w:val="-22"/>
        </w:rPr>
        <w:t xml:space="preserve"> </w:t>
      </w:r>
      <w:r>
        <w:rPr/>
        <w:t>batéria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1" w:leader="none"/>
        </w:tabs>
        <w:spacing w:before="45" w:after="0"/>
        <w:ind w:left="1540" w:hanging="361"/>
        <w:rPr/>
      </w:pPr>
      <w:r>
        <w:rPr/>
        <w:t>Možnosť upevnenia na DIN</w:t>
      </w:r>
      <w:r>
        <w:rPr>
          <w:spacing w:val="-15"/>
        </w:rPr>
        <w:t xml:space="preserve"> </w:t>
      </w:r>
      <w:r>
        <w:rPr/>
        <w:t>listu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spacing w:lineRule="auto" w:line="295" w:before="44" w:after="0"/>
        <w:ind w:left="820" w:right="371" w:hanging="360"/>
        <w:rPr/>
      </w:pPr>
      <w:r>
        <w:rPr/>
        <w:t>Harmonogram regulácie príkonu svetelnej sústavy (stmievanie)- počet hodín svietenia min.3900 hod/rok: pre obecné cestné komunikácie : v čase od zapnutia do 22:00 hod. – 100%, od 22:00 do 03:00 - 50%,od 03:00 hod. do vypnutia –</w:t>
      </w:r>
      <w:r>
        <w:rPr>
          <w:spacing w:val="-3"/>
        </w:rPr>
        <w:t xml:space="preserve"> </w:t>
      </w:r>
      <w:r>
        <w:rPr/>
        <w:t>100%.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  <w:tab w:val="left" w:pos="821" w:leader="none"/>
        </w:tabs>
        <w:spacing w:lineRule="auto" w:line="295" w:before="1" w:after="0"/>
        <w:ind w:left="820" w:right="301" w:hanging="360"/>
        <w:rPr/>
      </w:pPr>
      <w:r>
        <w:rPr/>
        <w:t>Rozvádzače verejného osvetlenia budú vybavené zariadením pre inteligentné vyhodnocovanie výkonových a výkonových charakteristík jednotlivých vetiev osvetlenia (inteligentné elektromery) – počet 1</w:t>
      </w:r>
      <w:r>
        <w:rPr>
          <w:spacing w:val="-1"/>
        </w:rPr>
        <w:t xml:space="preserve"> </w:t>
      </w:r>
      <w:r>
        <w:rPr/>
        <w:t>ks</w:t>
      </w:r>
    </w:p>
    <w:p>
      <w:pPr>
        <w:pStyle w:val="Telotextu"/>
        <w:spacing w:before="0" w:after="0"/>
        <w:ind w:left="0" w:hanging="0"/>
        <w:rPr>
          <w:sz w:val="24"/>
        </w:rPr>
      </w:pPr>
      <w:r>
        <w:rPr>
          <w:sz w:val="24"/>
        </w:rPr>
      </w:r>
    </w:p>
    <w:p>
      <w:pPr>
        <w:pStyle w:val="Telotextu"/>
        <w:spacing w:before="2" w:after="0"/>
        <w:ind w:left="0" w:hanging="0"/>
        <w:rPr>
          <w:sz w:val="31"/>
        </w:rPr>
      </w:pPr>
      <w:r>
        <w:rPr>
          <w:sz w:val="31"/>
        </w:rPr>
      </w:r>
    </w:p>
    <w:p>
      <w:pPr>
        <w:pStyle w:val="Telotextu"/>
        <w:spacing w:before="1" w:after="0"/>
        <w:ind w:left="100" w:hanging="0"/>
        <w:rPr/>
      </w:pPr>
      <w:r>
        <w:rPr/>
        <w:t>Podrobnejšie informácie sú obsiahnuté v prílohe č. 3, 5  Výzvy na predkladanie</w:t>
      </w:r>
      <w:r>
        <w:rPr>
          <w:spacing w:val="-39"/>
        </w:rPr>
        <w:t xml:space="preserve"> </w:t>
      </w:r>
      <w:r>
        <w:rPr/>
        <w:t>ponúk.</w:t>
      </w:r>
    </w:p>
    <w:sectPr>
      <w:headerReference w:type="default" r:id="rId3"/>
      <w:type w:val="nextPage"/>
      <w:pgSz w:w="11906" w:h="16838"/>
      <w:pgMar w:left="620" w:right="620" w:header="708" w:top="12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lotextu"/>
      <w:spacing w:lineRule="auto" w:line="12" w:before="0" w:after="0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281940</wp:posOffset>
              </wp:positionH>
              <wp:positionV relativeFrom="page">
                <wp:posOffset>449580</wp:posOffset>
              </wp:positionV>
              <wp:extent cx="19050" cy="20510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0" name="Rectangle 1"/>
                      <wps:cNvSpPr/>
                    </wps:nvSpPr>
                    <wps:spPr>
                      <a:xfrm>
                        <a:off x="0" y="0"/>
                        <a:ext cx="18360" cy="204480"/>
                      </a:xfrm>
                      <a:prstGeom prst="rect">
                        <a:avLst/>
                      </a:prstGeom>
                      <a:solidFill>
                        <a:srgbClr val="4471c4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fillcolor="#4471c4" stroked="f" style="position:absolute;margin-left:22.2pt;margin-top:35.4pt;width:1.4pt;height:16.05pt;mso-position-horizontal-relative:page;mso-position-vertical-relative:page">
              <w10:wrap type="none"/>
              <v:fill o:detectmouseclick="t" type="solid" color2="#bb8e3b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2152015</wp:posOffset>
              </wp:positionH>
              <wp:positionV relativeFrom="page">
                <wp:posOffset>443230</wp:posOffset>
              </wp:positionV>
              <wp:extent cx="3253740" cy="20955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3740" cy="20955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Obsahrmca"/>
                            <w:spacing w:before="10" w:after="0"/>
                            <w:ind w:left="20" w:hanging="361"/>
                            <w:rPr>
                              <w:b/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2E5395"/>
                              <w:sz w:val="26"/>
                            </w:rPr>
                            <w:t>Príloha č. 1 Výzvy na predloženie</w:t>
                          </w:r>
                          <w:r>
                            <w:rPr>
                              <w:b/>
                              <w:color w:val="2E5395"/>
                              <w:spacing w:val="-3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E5395"/>
                              <w:sz w:val="26"/>
                            </w:rPr>
                            <w:t>ponuky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56.2pt;height:16.5pt;mso-wrap-distance-left:9pt;mso-wrap-distance-right:9pt;mso-wrap-distance-top:0pt;mso-wrap-distance-bottom:0pt;margin-top:34.9pt;mso-position-vertical-relative:page;margin-left:169.45pt;mso-position-horizontal-relative:page">
              <v:textbox inset="0in,0in,0in,0in">
                <w:txbxContent>
                  <w:p>
                    <w:pPr>
                      <w:pStyle w:val="Obsahrmca"/>
                      <w:spacing w:before="10" w:after="0"/>
                      <w:ind w:left="20" w:hanging="361"/>
                      <w:rPr>
                        <w:b/>
                        <w:b/>
                        <w:sz w:val="26"/>
                      </w:rPr>
                    </w:pPr>
                    <w:r>
                      <w:rPr>
                        <w:b/>
                        <w:color w:val="2E5395"/>
                        <w:sz w:val="26"/>
                      </w:rPr>
                      <w:t>Príloha č. 1 Výzvy na predloženie</w:t>
                    </w:r>
                    <w:r>
                      <w:rPr>
                        <w:b/>
                        <w:color w:val="2E5395"/>
                        <w:spacing w:val="-3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2E5395"/>
                        <w:sz w:val="26"/>
                      </w:rPr>
                      <w:t>ponuky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cs="Symbol" w:hint="default"/>
        <w:sz w:val="22"/>
        <w:szCs w:val="22"/>
        <w:w w:val="100"/>
        <w:rFonts w:cs="Symbol"/>
        <w:lang w:val="sk-SK" w:eastAsia="en-US" w:bidi="ar-SA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  <w:sz w:val="22"/>
        <w:szCs w:val="22"/>
        <w:w w:val="100"/>
        <w:rFonts w:cs="Courier New"/>
        <w:lang w:val="sk-SK" w:eastAsia="en-US" w:bidi="ar-SA"/>
      </w:rPr>
    </w:lvl>
    <w:lvl w:ilvl="2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  <w:lang w:val="sk-SK" w:eastAsia="en-US" w:bidi="ar-SA"/>
      </w:rPr>
    </w:lvl>
    <w:lvl w:ilvl="3">
      <w:start w:val="1"/>
      <w:numFmt w:val="bullet"/>
      <w:lvlText w:val=""/>
      <w:lvlJc w:val="left"/>
      <w:pPr>
        <w:ind w:left="3568" w:hanging="360"/>
      </w:pPr>
      <w:rPr>
        <w:rFonts w:ascii="Symbol" w:hAnsi="Symbol" w:cs="Symbol" w:hint="default"/>
        <w:lang w:val="sk-SK" w:eastAsia="en-US" w:bidi="ar-SA"/>
      </w:rPr>
    </w:lvl>
    <w:lvl w:ilvl="4">
      <w:start w:val="1"/>
      <w:numFmt w:val="bullet"/>
      <w:lvlText w:val=""/>
      <w:lvlJc w:val="left"/>
      <w:pPr>
        <w:ind w:left="4582" w:hanging="360"/>
      </w:pPr>
      <w:rPr>
        <w:rFonts w:ascii="Symbol" w:hAnsi="Symbol" w:cs="Symbol" w:hint="default"/>
        <w:lang w:val="sk-SK" w:eastAsia="en-US" w:bidi="ar-SA"/>
      </w:rPr>
    </w:lvl>
    <w:lvl w:ilvl="5">
      <w:start w:val="1"/>
      <w:numFmt w:val="bullet"/>
      <w:lvlText w:val=""/>
      <w:lvlJc w:val="left"/>
      <w:pPr>
        <w:ind w:left="5596" w:hanging="360"/>
      </w:pPr>
      <w:rPr>
        <w:rFonts w:ascii="Symbol" w:hAnsi="Symbol" w:cs="Symbol" w:hint="default"/>
        <w:lang w:val="sk-SK" w:eastAsia="en-US" w:bidi="ar-SA"/>
      </w:rPr>
    </w:lvl>
    <w:lvl w:ilvl="6">
      <w:start w:val="1"/>
      <w:numFmt w:val="bullet"/>
      <w:lvlText w:val=""/>
      <w:lvlJc w:val="left"/>
      <w:pPr>
        <w:ind w:left="6610" w:hanging="360"/>
      </w:pPr>
      <w:rPr>
        <w:rFonts w:ascii="Symbol" w:hAnsi="Symbol" w:cs="Symbol" w:hint="default"/>
        <w:lang w:val="sk-SK" w:eastAsia="en-US" w:bidi="ar-SA"/>
      </w:rPr>
    </w:lvl>
    <w:lvl w:ilvl="7">
      <w:start w:val="1"/>
      <w:numFmt w:val="bullet"/>
      <w:lvlText w:val=""/>
      <w:lvlJc w:val="left"/>
      <w:pPr>
        <w:ind w:left="7624" w:hanging="360"/>
      </w:pPr>
      <w:rPr>
        <w:rFonts w:ascii="Symbol" w:hAnsi="Symbol" w:cs="Symbol" w:hint="default"/>
        <w:lang w:val="sk-SK" w:eastAsia="en-US" w:bidi="ar-SA"/>
      </w:rPr>
    </w:lvl>
    <w:lvl w:ilvl="8">
      <w:start w:val="1"/>
      <w:numFmt w:val="bullet"/>
      <w:lvlText w:val=""/>
      <w:lvlJc w:val="left"/>
      <w:pPr>
        <w:ind w:left="8638" w:hanging="360"/>
      </w:pPr>
      <w:rPr>
        <w:rFonts w:ascii="Symbol" w:hAnsi="Symbol" w:cs="Symbol" w:hint="default"/>
        <w:lang w:val="sk-SK" w:eastAsia="en-US" w:bidi="ar-SA"/>
      </w:rPr>
    </w:lvl>
  </w:abstractNum>
  <w:abstractNum w:abstractNumId="2">
    <w:lvl w:ilvl="0">
      <w:start w:val="1"/>
      <w:numFmt w:val="decimal"/>
      <w:lvlText w:val="%1"/>
      <w:lvlJc w:val="left"/>
      <w:pPr>
        <w:ind w:left="460" w:hanging="361"/>
      </w:pPr>
      <w:rPr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460" w:hanging="361"/>
      </w:pPr>
      <w:rPr>
        <w:sz w:val="22"/>
        <w:szCs w:val="22"/>
        <w:w w:val="100"/>
        <w:rFonts w:eastAsia="Arial" w:cs="Arial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1245" w:hanging="720"/>
      </w:pPr>
      <w:rPr>
        <w:sz w:val="22"/>
        <w:szCs w:val="22"/>
        <w:w w:val="100"/>
        <w:rFonts w:eastAsia="Arial" w:cs="Arial"/>
        <w:lang w:val="sk-SK" w:eastAsia="en-US" w:bidi="ar-SA"/>
      </w:rPr>
    </w:lvl>
    <w:lvl w:ilvl="3">
      <w:start w:val="1"/>
      <w:numFmt w:val="bullet"/>
      <w:lvlText w:val=""/>
      <w:lvlJc w:val="left"/>
      <w:pPr>
        <w:ind w:left="3334" w:hanging="720"/>
      </w:pPr>
      <w:rPr>
        <w:rFonts w:ascii="Symbol" w:hAnsi="Symbol" w:cs="Symbol" w:hint="default"/>
        <w:lang w:val="sk-SK" w:eastAsia="en-US" w:bidi="ar-SA"/>
      </w:rPr>
    </w:lvl>
    <w:lvl w:ilvl="4">
      <w:start w:val="1"/>
      <w:numFmt w:val="bullet"/>
      <w:lvlText w:val=""/>
      <w:lvlJc w:val="left"/>
      <w:pPr>
        <w:ind w:left="4382" w:hanging="720"/>
      </w:pPr>
      <w:rPr>
        <w:rFonts w:ascii="Symbol" w:hAnsi="Symbol" w:cs="Symbol" w:hint="default"/>
        <w:lang w:val="sk-SK" w:eastAsia="en-US" w:bidi="ar-SA"/>
      </w:rPr>
    </w:lvl>
    <w:lvl w:ilvl="5">
      <w:start w:val="1"/>
      <w:numFmt w:val="bullet"/>
      <w:lvlText w:val=""/>
      <w:lvlJc w:val="left"/>
      <w:pPr>
        <w:ind w:left="5429" w:hanging="720"/>
      </w:pPr>
      <w:rPr>
        <w:rFonts w:ascii="Symbol" w:hAnsi="Symbol" w:cs="Symbol" w:hint="default"/>
        <w:lang w:val="sk-SK" w:eastAsia="en-US" w:bidi="ar-SA"/>
      </w:rPr>
    </w:lvl>
    <w:lvl w:ilvl="6">
      <w:start w:val="1"/>
      <w:numFmt w:val="bullet"/>
      <w:lvlText w:val=""/>
      <w:lvlJc w:val="left"/>
      <w:pPr>
        <w:ind w:left="6476" w:hanging="720"/>
      </w:pPr>
      <w:rPr>
        <w:rFonts w:ascii="Symbol" w:hAnsi="Symbol" w:cs="Symbol" w:hint="default"/>
        <w:lang w:val="sk-SK" w:eastAsia="en-US" w:bidi="ar-SA"/>
      </w:rPr>
    </w:lvl>
    <w:lvl w:ilvl="7">
      <w:start w:val="1"/>
      <w:numFmt w:val="bullet"/>
      <w:lvlText w:val=""/>
      <w:lvlJc w:val="left"/>
      <w:pPr>
        <w:ind w:left="7524" w:hanging="720"/>
      </w:pPr>
      <w:rPr>
        <w:rFonts w:ascii="Symbol" w:hAnsi="Symbol" w:cs="Symbol" w:hint="default"/>
        <w:lang w:val="sk-SK" w:eastAsia="en-US" w:bidi="ar-SA"/>
      </w:rPr>
    </w:lvl>
    <w:lvl w:ilvl="8">
      <w:start w:val="1"/>
      <w:numFmt w:val="bullet"/>
      <w:lvlText w:val=""/>
      <w:lvlJc w:val="left"/>
      <w:pPr>
        <w:ind w:left="8571" w:hanging="720"/>
      </w:pPr>
      <w:rPr>
        <w:rFonts w:ascii="Symbol" w:hAnsi="Symbol" w:cs="Symbol" w:hint="default"/>
        <w:lang w:val="sk-SK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basedOn w:val="Normal"/>
    <w:uiPriority w:val="9"/>
    <w:qFormat/>
    <w:pPr>
      <w:ind w:left="100" w:hanging="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Symbol" w:cs="Symbol"/>
      <w:w w:val="100"/>
      <w:sz w:val="22"/>
      <w:szCs w:val="22"/>
      <w:lang w:val="sk-SK" w:eastAsia="en-US" w:bidi="ar-SA"/>
    </w:rPr>
  </w:style>
  <w:style w:type="character" w:styleId="ListLabel2">
    <w:name w:val="ListLabel 2"/>
    <w:qFormat/>
    <w:rPr>
      <w:rFonts w:eastAsia="Courier New" w:cs="Courier New"/>
      <w:w w:val="100"/>
      <w:sz w:val="22"/>
      <w:szCs w:val="22"/>
      <w:lang w:val="sk-SK" w:eastAsia="en-US" w:bidi="ar-SA"/>
    </w:rPr>
  </w:style>
  <w:style w:type="character" w:styleId="ListLabel3">
    <w:name w:val="ListLabel 3"/>
    <w:qFormat/>
    <w:rPr>
      <w:lang w:val="sk-SK" w:eastAsia="en-US" w:bidi="ar-SA"/>
    </w:rPr>
  </w:style>
  <w:style w:type="character" w:styleId="ListLabel4">
    <w:name w:val="ListLabel 4"/>
    <w:qFormat/>
    <w:rPr>
      <w:lang w:val="sk-SK" w:eastAsia="en-US" w:bidi="ar-SA"/>
    </w:rPr>
  </w:style>
  <w:style w:type="character" w:styleId="ListLabel5">
    <w:name w:val="ListLabel 5"/>
    <w:qFormat/>
    <w:rPr>
      <w:lang w:val="sk-SK" w:eastAsia="en-US" w:bidi="ar-SA"/>
    </w:rPr>
  </w:style>
  <w:style w:type="character" w:styleId="ListLabel6">
    <w:name w:val="ListLabel 6"/>
    <w:qFormat/>
    <w:rPr>
      <w:lang w:val="sk-SK" w:eastAsia="en-US" w:bidi="ar-SA"/>
    </w:rPr>
  </w:style>
  <w:style w:type="character" w:styleId="ListLabel7">
    <w:name w:val="ListLabel 7"/>
    <w:qFormat/>
    <w:rPr>
      <w:lang w:val="sk-SK" w:eastAsia="en-US" w:bidi="ar-SA"/>
    </w:rPr>
  </w:style>
  <w:style w:type="character" w:styleId="ListLabel8">
    <w:name w:val="ListLabel 8"/>
    <w:qFormat/>
    <w:rPr>
      <w:lang w:val="sk-SK" w:eastAsia="en-US" w:bidi="ar-SA"/>
    </w:rPr>
  </w:style>
  <w:style w:type="character" w:styleId="ListLabel9">
    <w:name w:val="ListLabel 9"/>
    <w:qFormat/>
    <w:rPr>
      <w:lang w:val="sk-SK" w:eastAsia="en-US" w:bidi="ar-SA"/>
    </w:rPr>
  </w:style>
  <w:style w:type="character" w:styleId="ListLabel10">
    <w:name w:val="ListLabel 10"/>
    <w:qFormat/>
    <w:rPr>
      <w:lang w:val="sk-SK" w:eastAsia="en-US" w:bidi="ar-SA"/>
    </w:rPr>
  </w:style>
  <w:style w:type="character" w:styleId="ListLabel11">
    <w:name w:val="ListLabel 11"/>
    <w:qFormat/>
    <w:rPr>
      <w:rFonts w:eastAsia="Arial" w:cs="Arial"/>
      <w:w w:val="100"/>
      <w:sz w:val="22"/>
      <w:szCs w:val="22"/>
      <w:lang w:val="sk-SK" w:eastAsia="en-US" w:bidi="ar-SA"/>
    </w:rPr>
  </w:style>
  <w:style w:type="character" w:styleId="ListLabel12">
    <w:name w:val="ListLabel 12"/>
    <w:qFormat/>
    <w:rPr>
      <w:rFonts w:eastAsia="Arial" w:cs="Arial"/>
      <w:w w:val="100"/>
      <w:sz w:val="22"/>
      <w:szCs w:val="22"/>
      <w:lang w:val="sk-SK" w:eastAsia="en-US" w:bidi="ar-SA"/>
    </w:rPr>
  </w:style>
  <w:style w:type="character" w:styleId="ListLabel13">
    <w:name w:val="ListLabel 13"/>
    <w:qFormat/>
    <w:rPr>
      <w:lang w:val="sk-SK" w:eastAsia="en-US" w:bidi="ar-SA"/>
    </w:rPr>
  </w:style>
  <w:style w:type="character" w:styleId="ListLabel14">
    <w:name w:val="ListLabel 14"/>
    <w:qFormat/>
    <w:rPr>
      <w:lang w:val="sk-SK" w:eastAsia="en-US" w:bidi="ar-SA"/>
    </w:rPr>
  </w:style>
  <w:style w:type="character" w:styleId="ListLabel15">
    <w:name w:val="ListLabel 15"/>
    <w:qFormat/>
    <w:rPr>
      <w:lang w:val="sk-SK" w:eastAsia="en-US" w:bidi="ar-SA"/>
    </w:rPr>
  </w:style>
  <w:style w:type="character" w:styleId="ListLabel16">
    <w:name w:val="ListLabel 16"/>
    <w:qFormat/>
    <w:rPr>
      <w:lang w:val="sk-SK" w:eastAsia="en-US" w:bidi="ar-SA"/>
    </w:rPr>
  </w:style>
  <w:style w:type="character" w:styleId="ListLabel17">
    <w:name w:val="ListLabel 17"/>
    <w:qFormat/>
    <w:rPr>
      <w:lang w:val="sk-SK" w:eastAsia="en-US" w:bidi="ar-SA"/>
    </w:rPr>
  </w:style>
  <w:style w:type="character" w:styleId="ListLabel18">
    <w:name w:val="ListLabel 18"/>
    <w:qFormat/>
    <w:rPr>
      <w:lang w:val="sk-SK" w:eastAsia="en-US" w:bidi="ar-SA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uiPriority w:val="1"/>
    <w:qFormat/>
    <w:pPr>
      <w:spacing w:before="62" w:after="0"/>
      <w:ind w:left="820" w:hanging="361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zov">
    <w:name w:val="Title"/>
    <w:basedOn w:val="Normal"/>
    <w:uiPriority w:val="10"/>
    <w:qFormat/>
    <w:pPr>
      <w:spacing w:before="10" w:after="0"/>
      <w:ind w:left="20" w:hanging="0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62" w:after="0"/>
      <w:ind w:left="820" w:hanging="36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Hlavika">
    <w:name w:val="Header"/>
    <w:basedOn w:val="Normal"/>
    <w:pPr/>
    <w:rPr/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LibreOffice/6.2.4.2$Windows_x86 LibreOffice_project/2412653d852ce75f65fbfa83fb7e7b669a126d64</Application>
  <Pages>4</Pages>
  <Words>685</Words>
  <Characters>4292</Characters>
  <CharactersWithSpaces>4874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2020-11-19T16:33:00Z</dcterms:created>
  <dc:creator>Stanča</dc:creator>
  <dc:description/>
  <dc:language>sk-SK</dc:language>
  <cp:lastModifiedBy>David Madr</cp:lastModifiedBy>
  <cp:lastPrinted>2021-03-19T11:20:00Z</cp:lastPrinted>
  <dcterms:modified xsi:type="dcterms:W3CDTF">2021-11-18T16:14:00Z</dcterms:modified>
  <cp:revision>15</cp:revision>
  <dc:subject/>
  <dc:title>OPIS predmetu zákazky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2020-11-06T00:00:00Z</vt:filetime>
  </property>
  <property fmtid="{D5CDD505-2E9C-101B-9397-08002B2CF9AE}" pid="4" name="Creator">
    <vt:lpwstr>Microsoft® Word pre Office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2020-11-19T00:00:00Z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